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C867" w14:textId="77777777" w:rsidR="00DA1625" w:rsidRDefault="00DA1625" w:rsidP="003D101B">
      <w:pPr>
        <w:rPr>
          <w:b/>
          <w:bCs/>
        </w:rPr>
      </w:pPr>
    </w:p>
    <w:p w14:paraId="6C521E61" w14:textId="7D623AF2" w:rsidR="00DA1625" w:rsidRDefault="00D50A7B" w:rsidP="00D50A7B">
      <w:pPr>
        <w:pStyle w:val="Title"/>
        <w:jc w:val="center"/>
      </w:pPr>
      <w:r>
        <w:t>Acceptable Use Policy</w:t>
      </w:r>
    </w:p>
    <w:p w14:paraId="2ADF9651" w14:textId="249FFA85" w:rsidR="00D50A7B" w:rsidRPr="00D50A7B" w:rsidRDefault="00D50A7B" w:rsidP="00D50A7B">
      <w:pPr>
        <w:pStyle w:val="Subtitle"/>
        <w:jc w:val="center"/>
      </w:pPr>
      <w:proofErr w:type="spellStart"/>
      <w:r>
        <w:t>TechTonic</w:t>
      </w:r>
      <w:proofErr w:type="spellEnd"/>
      <w:r>
        <w:t xml:space="preserve"> Shift</w:t>
      </w:r>
    </w:p>
    <w:p w14:paraId="15E0D8BC" w14:textId="77777777" w:rsidR="00DA1625" w:rsidRDefault="00DA1625" w:rsidP="003D101B">
      <w:pPr>
        <w:rPr>
          <w:b/>
          <w:bCs/>
        </w:rPr>
      </w:pPr>
    </w:p>
    <w:p w14:paraId="5EEE3ACC" w14:textId="06209108" w:rsidR="00DA1625" w:rsidRDefault="00DA1625" w:rsidP="003D101B">
      <w:pPr>
        <w:rPr>
          <w:b/>
          <w:bCs/>
        </w:rPr>
      </w:pPr>
    </w:p>
    <w:p w14:paraId="20682EE5" w14:textId="77777777" w:rsidR="00DA1625" w:rsidRDefault="00DA1625" w:rsidP="003D101B">
      <w:pPr>
        <w:rPr>
          <w:b/>
          <w:bCs/>
        </w:rPr>
      </w:pPr>
    </w:p>
    <w:p w14:paraId="24137E1B" w14:textId="77777777" w:rsidR="00DA1625" w:rsidRDefault="00DA1625" w:rsidP="003D101B">
      <w:pPr>
        <w:rPr>
          <w:b/>
          <w:bCs/>
        </w:rPr>
      </w:pPr>
    </w:p>
    <w:p w14:paraId="275C41DD" w14:textId="77777777" w:rsidR="00DA1625" w:rsidRDefault="00DA1625" w:rsidP="003D101B">
      <w:pPr>
        <w:rPr>
          <w:b/>
          <w:bCs/>
        </w:rPr>
      </w:pPr>
    </w:p>
    <w:p w14:paraId="4DAAD932" w14:textId="77777777" w:rsidR="00DA1625" w:rsidRDefault="00DA1625" w:rsidP="003D101B">
      <w:pPr>
        <w:rPr>
          <w:b/>
          <w:bCs/>
        </w:rPr>
      </w:pPr>
    </w:p>
    <w:p w14:paraId="7CC2FB0C" w14:textId="77777777" w:rsidR="00DA1625" w:rsidRDefault="00DA1625" w:rsidP="003D101B">
      <w:pPr>
        <w:rPr>
          <w:b/>
          <w:bCs/>
        </w:rPr>
      </w:pPr>
    </w:p>
    <w:p w14:paraId="4D9E272A" w14:textId="77777777" w:rsidR="00DA1625" w:rsidRDefault="00DA1625" w:rsidP="003D101B">
      <w:pPr>
        <w:rPr>
          <w:b/>
          <w:bCs/>
        </w:rPr>
      </w:pPr>
    </w:p>
    <w:p w14:paraId="16AE32EB" w14:textId="77777777" w:rsidR="00DA1625" w:rsidRDefault="00DA1625" w:rsidP="003D101B">
      <w:pPr>
        <w:rPr>
          <w:b/>
          <w:bCs/>
        </w:rPr>
      </w:pPr>
    </w:p>
    <w:p w14:paraId="52D7D9C9" w14:textId="77777777" w:rsidR="00DA1625" w:rsidRDefault="00DA1625" w:rsidP="003D101B">
      <w:pPr>
        <w:rPr>
          <w:b/>
          <w:bCs/>
        </w:rPr>
      </w:pPr>
    </w:p>
    <w:p w14:paraId="27316F24" w14:textId="77777777" w:rsidR="00DA1625" w:rsidRDefault="00DA1625" w:rsidP="003D101B">
      <w:pPr>
        <w:rPr>
          <w:b/>
          <w:bCs/>
        </w:rPr>
      </w:pPr>
    </w:p>
    <w:p w14:paraId="3860BD3B" w14:textId="77777777" w:rsidR="00DA1625" w:rsidRDefault="00DA1625" w:rsidP="003D101B">
      <w:pPr>
        <w:rPr>
          <w:b/>
          <w:bCs/>
        </w:rPr>
      </w:pPr>
    </w:p>
    <w:p w14:paraId="5A12BFC0" w14:textId="77777777" w:rsidR="00DA1625" w:rsidRDefault="00DA1625" w:rsidP="003D101B">
      <w:pPr>
        <w:rPr>
          <w:b/>
          <w:bCs/>
        </w:rPr>
      </w:pPr>
    </w:p>
    <w:p w14:paraId="3A2C4EC8" w14:textId="77777777" w:rsidR="00DA1625" w:rsidRDefault="00DA1625" w:rsidP="003D101B">
      <w:pPr>
        <w:rPr>
          <w:b/>
          <w:bCs/>
        </w:rPr>
      </w:pPr>
    </w:p>
    <w:p w14:paraId="6AD74F2F" w14:textId="77777777" w:rsidR="00DA1625" w:rsidRDefault="00DA1625" w:rsidP="003D101B">
      <w:pPr>
        <w:rPr>
          <w:b/>
          <w:bCs/>
        </w:rPr>
      </w:pPr>
    </w:p>
    <w:p w14:paraId="319E5B5B" w14:textId="77777777" w:rsidR="00DA1625" w:rsidRDefault="00DA1625" w:rsidP="003D101B">
      <w:pPr>
        <w:rPr>
          <w:b/>
          <w:bCs/>
        </w:rPr>
      </w:pPr>
    </w:p>
    <w:p w14:paraId="2367C300" w14:textId="77777777" w:rsidR="00DA1625" w:rsidRDefault="00DA1625" w:rsidP="003D101B">
      <w:pPr>
        <w:rPr>
          <w:b/>
          <w:bCs/>
        </w:rPr>
      </w:pPr>
    </w:p>
    <w:p w14:paraId="3707CD1F" w14:textId="77777777" w:rsidR="00DA1625" w:rsidRDefault="00DA1625" w:rsidP="003D101B">
      <w:pPr>
        <w:rPr>
          <w:b/>
          <w:bCs/>
        </w:rPr>
      </w:pPr>
    </w:p>
    <w:p w14:paraId="71A5474C" w14:textId="77777777" w:rsidR="00DA1625" w:rsidRDefault="00DA1625" w:rsidP="003D101B">
      <w:pPr>
        <w:rPr>
          <w:b/>
          <w:bCs/>
        </w:rPr>
      </w:pPr>
    </w:p>
    <w:p w14:paraId="4B59CE57" w14:textId="77777777" w:rsidR="00DA1625" w:rsidRDefault="00DA1625" w:rsidP="003D101B">
      <w:pPr>
        <w:rPr>
          <w:b/>
          <w:bCs/>
        </w:rPr>
      </w:pPr>
    </w:p>
    <w:tbl>
      <w:tblPr>
        <w:tblStyle w:val="GridTable1Light"/>
        <w:tblpPr w:leftFromText="180" w:rightFromText="180" w:vertAnchor="text" w:horzAnchor="margin" w:tblpY="306"/>
        <w:tblW w:w="7580" w:type="dxa"/>
        <w:tblLook w:val="04A0" w:firstRow="1" w:lastRow="0" w:firstColumn="1" w:lastColumn="0" w:noHBand="0" w:noVBand="1"/>
      </w:tblPr>
      <w:tblGrid>
        <w:gridCol w:w="1895"/>
        <w:gridCol w:w="1895"/>
        <w:gridCol w:w="1895"/>
        <w:gridCol w:w="1895"/>
      </w:tblGrid>
      <w:tr w:rsidR="00D50A7B" w14:paraId="2124B7F0" w14:textId="77777777" w:rsidTr="00D50A7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5" w:type="dxa"/>
          </w:tcPr>
          <w:p w14:paraId="03DC2992" w14:textId="77777777" w:rsidR="00D50A7B" w:rsidRDefault="00D50A7B" w:rsidP="00D50A7B">
            <w:pPr>
              <w:rPr>
                <w:b w:val="0"/>
                <w:bCs w:val="0"/>
              </w:rPr>
            </w:pPr>
            <w:bookmarkStart w:id="0" w:name="DocVersionTable"/>
            <w:bookmarkStart w:id="1" w:name="Version" w:colFirst="0" w:colLast="0"/>
            <w:r>
              <w:rPr>
                <w:b w:val="0"/>
                <w:bCs w:val="0"/>
              </w:rPr>
              <w:t xml:space="preserve">Version </w:t>
            </w:r>
          </w:p>
        </w:tc>
        <w:tc>
          <w:tcPr>
            <w:tcW w:w="1895" w:type="dxa"/>
          </w:tcPr>
          <w:p w14:paraId="30337851" w14:textId="77777777" w:rsidR="00D50A7B" w:rsidRDefault="00D50A7B" w:rsidP="00D50A7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Date</w:t>
            </w:r>
          </w:p>
        </w:tc>
        <w:tc>
          <w:tcPr>
            <w:tcW w:w="1895" w:type="dxa"/>
          </w:tcPr>
          <w:p w14:paraId="419B90B2" w14:textId="77777777" w:rsidR="00D50A7B" w:rsidRDefault="00D50A7B" w:rsidP="00D50A7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Amendment </w:t>
            </w:r>
          </w:p>
        </w:tc>
        <w:tc>
          <w:tcPr>
            <w:tcW w:w="1895" w:type="dxa"/>
          </w:tcPr>
          <w:p w14:paraId="080ACB45" w14:textId="77777777" w:rsidR="00D50A7B" w:rsidRDefault="00D50A7B" w:rsidP="00D50A7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Author </w:t>
            </w:r>
          </w:p>
        </w:tc>
      </w:tr>
      <w:bookmarkEnd w:id="1"/>
      <w:tr w:rsidR="00D50A7B" w14:paraId="620733AC" w14:textId="77777777" w:rsidTr="00D50A7B">
        <w:trPr>
          <w:trHeight w:val="245"/>
        </w:trPr>
        <w:tc>
          <w:tcPr>
            <w:cnfStyle w:val="001000000000" w:firstRow="0" w:lastRow="0" w:firstColumn="1" w:lastColumn="0" w:oddVBand="0" w:evenVBand="0" w:oddHBand="0" w:evenHBand="0" w:firstRowFirstColumn="0" w:firstRowLastColumn="0" w:lastRowFirstColumn="0" w:lastRowLastColumn="0"/>
            <w:tcW w:w="1895" w:type="dxa"/>
          </w:tcPr>
          <w:p w14:paraId="18B12990" w14:textId="77777777" w:rsidR="00D50A7B" w:rsidRPr="0012085E" w:rsidRDefault="00D50A7B" w:rsidP="00D50A7B">
            <w:pPr>
              <w:rPr>
                <w:b w:val="0"/>
                <w:bCs w:val="0"/>
              </w:rPr>
            </w:pPr>
            <w:r w:rsidRPr="0012085E">
              <w:rPr>
                <w:b w:val="0"/>
                <w:bCs w:val="0"/>
              </w:rPr>
              <w:t xml:space="preserve">1.0 </w:t>
            </w:r>
          </w:p>
        </w:tc>
        <w:tc>
          <w:tcPr>
            <w:tcW w:w="1895" w:type="dxa"/>
          </w:tcPr>
          <w:p w14:paraId="5F9435B4" w14:textId="77777777" w:rsidR="00D50A7B" w:rsidRPr="0012085E" w:rsidRDefault="00D50A7B" w:rsidP="00D50A7B">
            <w:pPr>
              <w:cnfStyle w:val="000000000000" w:firstRow="0" w:lastRow="0" w:firstColumn="0" w:lastColumn="0" w:oddVBand="0" w:evenVBand="0" w:oddHBand="0" w:evenHBand="0" w:firstRowFirstColumn="0" w:firstRowLastColumn="0" w:lastRowFirstColumn="0" w:lastRowLastColumn="0"/>
            </w:pPr>
            <w:r w:rsidRPr="0012085E">
              <w:t>04/11/2024</w:t>
            </w:r>
          </w:p>
        </w:tc>
        <w:tc>
          <w:tcPr>
            <w:tcW w:w="1895" w:type="dxa"/>
          </w:tcPr>
          <w:p w14:paraId="53DD23AA" w14:textId="77777777" w:rsidR="00D50A7B" w:rsidRPr="0012085E" w:rsidRDefault="00D50A7B" w:rsidP="00D50A7B">
            <w:pPr>
              <w:cnfStyle w:val="000000000000" w:firstRow="0" w:lastRow="0" w:firstColumn="0" w:lastColumn="0" w:oddVBand="0" w:evenVBand="0" w:oddHBand="0" w:evenHBand="0" w:firstRowFirstColumn="0" w:firstRowLastColumn="0" w:lastRowFirstColumn="0" w:lastRowLastColumn="0"/>
            </w:pPr>
            <w:r w:rsidRPr="0012085E">
              <w:t xml:space="preserve">New Document all has been changed </w:t>
            </w:r>
          </w:p>
        </w:tc>
        <w:tc>
          <w:tcPr>
            <w:tcW w:w="1895" w:type="dxa"/>
          </w:tcPr>
          <w:p w14:paraId="65AE1276" w14:textId="77777777" w:rsidR="00D50A7B" w:rsidRPr="0012085E" w:rsidRDefault="00D50A7B" w:rsidP="00D50A7B">
            <w:pPr>
              <w:cnfStyle w:val="000000000000" w:firstRow="0" w:lastRow="0" w:firstColumn="0" w:lastColumn="0" w:oddVBand="0" w:evenVBand="0" w:oddHBand="0" w:evenHBand="0" w:firstRowFirstColumn="0" w:firstRowLastColumn="0" w:lastRowFirstColumn="0" w:lastRowLastColumn="0"/>
            </w:pPr>
            <w:r w:rsidRPr="0012085E">
              <w:t>SR</w:t>
            </w:r>
          </w:p>
        </w:tc>
      </w:tr>
      <w:tr w:rsidR="00D50A7B" w14:paraId="6B6E3167" w14:textId="77777777" w:rsidTr="00D50A7B">
        <w:trPr>
          <w:trHeight w:val="260"/>
        </w:trPr>
        <w:tc>
          <w:tcPr>
            <w:cnfStyle w:val="001000000000" w:firstRow="0" w:lastRow="0" w:firstColumn="1" w:lastColumn="0" w:oddVBand="0" w:evenVBand="0" w:oddHBand="0" w:evenHBand="0" w:firstRowFirstColumn="0" w:firstRowLastColumn="0" w:lastRowFirstColumn="0" w:lastRowLastColumn="0"/>
            <w:tcW w:w="1895" w:type="dxa"/>
          </w:tcPr>
          <w:p w14:paraId="49564286" w14:textId="77777777" w:rsidR="00D50A7B" w:rsidRDefault="00D50A7B" w:rsidP="00D50A7B">
            <w:pPr>
              <w:rPr>
                <w:b w:val="0"/>
                <w:bCs w:val="0"/>
              </w:rPr>
            </w:pPr>
          </w:p>
        </w:tc>
        <w:tc>
          <w:tcPr>
            <w:tcW w:w="1895" w:type="dxa"/>
          </w:tcPr>
          <w:p w14:paraId="0D42DDE2"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5946DA5A"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0E3391D4"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r>
      <w:tr w:rsidR="00D50A7B" w14:paraId="189A5ABE" w14:textId="77777777" w:rsidTr="00D50A7B">
        <w:trPr>
          <w:trHeight w:val="260"/>
        </w:trPr>
        <w:tc>
          <w:tcPr>
            <w:cnfStyle w:val="001000000000" w:firstRow="0" w:lastRow="0" w:firstColumn="1" w:lastColumn="0" w:oddVBand="0" w:evenVBand="0" w:oddHBand="0" w:evenHBand="0" w:firstRowFirstColumn="0" w:firstRowLastColumn="0" w:lastRowFirstColumn="0" w:lastRowLastColumn="0"/>
            <w:tcW w:w="1895" w:type="dxa"/>
          </w:tcPr>
          <w:p w14:paraId="7D6A2FE1" w14:textId="77777777" w:rsidR="00D50A7B" w:rsidRDefault="00D50A7B" w:rsidP="00D50A7B">
            <w:pPr>
              <w:rPr>
                <w:b w:val="0"/>
                <w:bCs w:val="0"/>
              </w:rPr>
            </w:pPr>
          </w:p>
        </w:tc>
        <w:tc>
          <w:tcPr>
            <w:tcW w:w="1895" w:type="dxa"/>
          </w:tcPr>
          <w:p w14:paraId="6DBBC77E"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57E1173F"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7145AA12"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r>
      <w:tr w:rsidR="00D50A7B" w14:paraId="6329B426" w14:textId="77777777" w:rsidTr="00D50A7B">
        <w:trPr>
          <w:trHeight w:val="245"/>
        </w:trPr>
        <w:tc>
          <w:tcPr>
            <w:cnfStyle w:val="001000000000" w:firstRow="0" w:lastRow="0" w:firstColumn="1" w:lastColumn="0" w:oddVBand="0" w:evenVBand="0" w:oddHBand="0" w:evenHBand="0" w:firstRowFirstColumn="0" w:firstRowLastColumn="0" w:lastRowFirstColumn="0" w:lastRowLastColumn="0"/>
            <w:tcW w:w="1895" w:type="dxa"/>
          </w:tcPr>
          <w:p w14:paraId="7497FB92" w14:textId="77777777" w:rsidR="00D50A7B" w:rsidRDefault="00D50A7B" w:rsidP="00D50A7B">
            <w:pPr>
              <w:rPr>
                <w:b w:val="0"/>
                <w:bCs w:val="0"/>
              </w:rPr>
            </w:pPr>
          </w:p>
        </w:tc>
        <w:tc>
          <w:tcPr>
            <w:tcW w:w="1895" w:type="dxa"/>
          </w:tcPr>
          <w:p w14:paraId="059AF3FF"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248F3D1A"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2627E284"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r>
      <w:tr w:rsidR="00D50A7B" w14:paraId="27233B7C" w14:textId="77777777" w:rsidTr="00D50A7B">
        <w:trPr>
          <w:trHeight w:val="260"/>
        </w:trPr>
        <w:tc>
          <w:tcPr>
            <w:cnfStyle w:val="001000000000" w:firstRow="0" w:lastRow="0" w:firstColumn="1" w:lastColumn="0" w:oddVBand="0" w:evenVBand="0" w:oddHBand="0" w:evenHBand="0" w:firstRowFirstColumn="0" w:firstRowLastColumn="0" w:lastRowFirstColumn="0" w:lastRowLastColumn="0"/>
            <w:tcW w:w="1895" w:type="dxa"/>
          </w:tcPr>
          <w:p w14:paraId="51F0F99C" w14:textId="77777777" w:rsidR="00D50A7B" w:rsidRDefault="00D50A7B" w:rsidP="00D50A7B">
            <w:pPr>
              <w:rPr>
                <w:b w:val="0"/>
                <w:bCs w:val="0"/>
              </w:rPr>
            </w:pPr>
          </w:p>
        </w:tc>
        <w:tc>
          <w:tcPr>
            <w:tcW w:w="1895" w:type="dxa"/>
          </w:tcPr>
          <w:p w14:paraId="24A4AD6A"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5C9D89E2"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22BF7CCB"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r>
      <w:tr w:rsidR="00D50A7B" w14:paraId="25158B79" w14:textId="77777777" w:rsidTr="00D50A7B">
        <w:trPr>
          <w:trHeight w:val="245"/>
        </w:trPr>
        <w:tc>
          <w:tcPr>
            <w:cnfStyle w:val="001000000000" w:firstRow="0" w:lastRow="0" w:firstColumn="1" w:lastColumn="0" w:oddVBand="0" w:evenVBand="0" w:oddHBand="0" w:evenHBand="0" w:firstRowFirstColumn="0" w:firstRowLastColumn="0" w:lastRowFirstColumn="0" w:lastRowLastColumn="0"/>
            <w:tcW w:w="1895" w:type="dxa"/>
          </w:tcPr>
          <w:p w14:paraId="0DADBF52" w14:textId="77777777" w:rsidR="00D50A7B" w:rsidRDefault="00D50A7B" w:rsidP="00D50A7B">
            <w:pPr>
              <w:rPr>
                <w:b w:val="0"/>
                <w:bCs w:val="0"/>
              </w:rPr>
            </w:pPr>
          </w:p>
        </w:tc>
        <w:tc>
          <w:tcPr>
            <w:tcW w:w="1895" w:type="dxa"/>
          </w:tcPr>
          <w:p w14:paraId="5D9153E6"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2B4C97B7"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3465164E"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r>
      <w:tr w:rsidR="00D50A7B" w14:paraId="6F75928C" w14:textId="77777777" w:rsidTr="00D50A7B">
        <w:trPr>
          <w:trHeight w:val="260"/>
        </w:trPr>
        <w:tc>
          <w:tcPr>
            <w:cnfStyle w:val="001000000000" w:firstRow="0" w:lastRow="0" w:firstColumn="1" w:lastColumn="0" w:oddVBand="0" w:evenVBand="0" w:oddHBand="0" w:evenHBand="0" w:firstRowFirstColumn="0" w:firstRowLastColumn="0" w:lastRowFirstColumn="0" w:lastRowLastColumn="0"/>
            <w:tcW w:w="1895" w:type="dxa"/>
          </w:tcPr>
          <w:p w14:paraId="46947254" w14:textId="77777777" w:rsidR="00D50A7B" w:rsidRDefault="00D50A7B" w:rsidP="00D50A7B">
            <w:pPr>
              <w:rPr>
                <w:b w:val="0"/>
                <w:bCs w:val="0"/>
              </w:rPr>
            </w:pPr>
          </w:p>
        </w:tc>
        <w:tc>
          <w:tcPr>
            <w:tcW w:w="1895" w:type="dxa"/>
          </w:tcPr>
          <w:p w14:paraId="47F2E465"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4C30D566"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c>
          <w:tcPr>
            <w:tcW w:w="1895" w:type="dxa"/>
          </w:tcPr>
          <w:p w14:paraId="08779AAD" w14:textId="77777777" w:rsidR="00D50A7B" w:rsidRDefault="00D50A7B" w:rsidP="00D50A7B">
            <w:pPr>
              <w:cnfStyle w:val="000000000000" w:firstRow="0" w:lastRow="0" w:firstColumn="0" w:lastColumn="0" w:oddVBand="0" w:evenVBand="0" w:oddHBand="0" w:evenHBand="0" w:firstRowFirstColumn="0" w:firstRowLastColumn="0" w:lastRowFirstColumn="0" w:lastRowLastColumn="0"/>
              <w:rPr>
                <w:b/>
                <w:bCs/>
              </w:rPr>
            </w:pPr>
          </w:p>
        </w:tc>
      </w:tr>
      <w:bookmarkEnd w:id="0"/>
    </w:tbl>
    <w:p w14:paraId="74C19138" w14:textId="77777777" w:rsidR="00DA1625" w:rsidRDefault="00DA1625" w:rsidP="003D101B">
      <w:pPr>
        <w:rPr>
          <w:b/>
          <w:bCs/>
        </w:rPr>
      </w:pPr>
    </w:p>
    <w:p w14:paraId="61933BEF" w14:textId="77777777" w:rsidR="00DA1625" w:rsidRDefault="00DA1625" w:rsidP="003D101B">
      <w:pPr>
        <w:rPr>
          <w:b/>
          <w:bCs/>
        </w:rPr>
      </w:pPr>
    </w:p>
    <w:p w14:paraId="09D0B994" w14:textId="77777777" w:rsidR="00DA1625" w:rsidRDefault="00DA1625" w:rsidP="003D101B">
      <w:pPr>
        <w:rPr>
          <w:b/>
          <w:bCs/>
        </w:rPr>
      </w:pPr>
    </w:p>
    <w:p w14:paraId="7A5026AA" w14:textId="77777777" w:rsidR="00DA1625" w:rsidRDefault="00DA1625" w:rsidP="003D101B">
      <w:pPr>
        <w:rPr>
          <w:b/>
          <w:bCs/>
        </w:rPr>
      </w:pPr>
    </w:p>
    <w:p w14:paraId="3BC7696E" w14:textId="77777777" w:rsidR="00DA1625" w:rsidRDefault="00DA1625" w:rsidP="003D101B">
      <w:pPr>
        <w:rPr>
          <w:b/>
          <w:bCs/>
        </w:rPr>
      </w:pPr>
    </w:p>
    <w:p w14:paraId="4D3A6B25" w14:textId="77777777" w:rsidR="00DA1625" w:rsidRDefault="00DA1625" w:rsidP="003D101B">
      <w:pPr>
        <w:rPr>
          <w:b/>
          <w:bCs/>
        </w:rPr>
      </w:pPr>
    </w:p>
    <w:p w14:paraId="473C31D3" w14:textId="77777777" w:rsidR="00DA1625" w:rsidRDefault="00DA1625" w:rsidP="003D101B">
      <w:pPr>
        <w:rPr>
          <w:b/>
          <w:bCs/>
        </w:rPr>
      </w:pPr>
    </w:p>
    <w:p w14:paraId="01E8800D" w14:textId="77777777" w:rsidR="00DA1625" w:rsidRDefault="00DA1625" w:rsidP="003D101B">
      <w:pPr>
        <w:rPr>
          <w:b/>
          <w:bCs/>
        </w:rPr>
      </w:pPr>
    </w:p>
    <w:p w14:paraId="44F571F8" w14:textId="77777777" w:rsidR="00DA1625" w:rsidRDefault="00DA1625" w:rsidP="003D101B">
      <w:pPr>
        <w:rPr>
          <w:b/>
          <w:bCs/>
        </w:rPr>
      </w:pPr>
    </w:p>
    <w:p w14:paraId="43A7F584" w14:textId="02D1C815" w:rsidR="003D101B" w:rsidRPr="003D101B" w:rsidRDefault="003D101B" w:rsidP="003D101B">
      <w:r w:rsidRPr="003D101B">
        <w:rPr>
          <w:b/>
          <w:bCs/>
        </w:rPr>
        <w:t>Acceptable Use Policy (AUP)</w:t>
      </w:r>
    </w:p>
    <w:p w14:paraId="1D82A8DD" w14:textId="77777777" w:rsidR="003D101B" w:rsidRPr="003D101B" w:rsidRDefault="003D101B" w:rsidP="003D101B">
      <w:r w:rsidRPr="003D101B">
        <w:rPr>
          <w:b/>
          <w:bCs/>
        </w:rPr>
        <w:t>1. Introduction</w:t>
      </w:r>
    </w:p>
    <w:p w14:paraId="3894ECF1" w14:textId="77777777" w:rsidR="003D101B" w:rsidRPr="003D101B" w:rsidRDefault="003D101B" w:rsidP="003D101B">
      <w:r w:rsidRPr="003D101B">
        <w:t xml:space="preserve">This Acceptable Use Policy (AUP) outlines the terms and conditions governing the use of </w:t>
      </w:r>
      <w:proofErr w:type="spellStart"/>
      <w:r w:rsidRPr="003D101B">
        <w:t>TechTonic</w:t>
      </w:r>
      <w:proofErr w:type="spellEnd"/>
      <w:r w:rsidRPr="003D101B">
        <w:t xml:space="preserve"> Shift's managed services. By utilizing our services, you agree to abide by the terms of this AUP.</w:t>
      </w:r>
    </w:p>
    <w:p w14:paraId="4452BE68" w14:textId="77777777" w:rsidR="003D101B" w:rsidRPr="003D101B" w:rsidRDefault="003D101B" w:rsidP="003D101B">
      <w:r w:rsidRPr="003D101B">
        <w:rPr>
          <w:b/>
          <w:bCs/>
        </w:rPr>
        <w:t>2. Prohibited Activities</w:t>
      </w:r>
    </w:p>
    <w:p w14:paraId="355F61FD" w14:textId="77777777" w:rsidR="003D101B" w:rsidRPr="003D101B" w:rsidRDefault="003D101B" w:rsidP="003D101B">
      <w:r w:rsidRPr="003D101B">
        <w:t xml:space="preserve">You agree not to use our services for any illegal or unauthorized purpose, including but not limited to:   </w:t>
      </w:r>
    </w:p>
    <w:p w14:paraId="273F0852" w14:textId="77777777" w:rsidR="003D101B" w:rsidRPr="003D101B" w:rsidRDefault="003D101B" w:rsidP="003D101B">
      <w:pPr>
        <w:numPr>
          <w:ilvl w:val="0"/>
          <w:numId w:val="1"/>
        </w:numPr>
      </w:pPr>
      <w:r w:rsidRPr="003D101B">
        <w:rPr>
          <w:b/>
          <w:bCs/>
        </w:rPr>
        <w:t>Illegal Activities:</w:t>
      </w:r>
      <w:r w:rsidRPr="003D101B">
        <w:t xml:space="preserve"> Engaging in any activity that violates local, state, national, or international laws.</w:t>
      </w:r>
    </w:p>
    <w:p w14:paraId="382EEA5C" w14:textId="77777777" w:rsidR="003D101B" w:rsidRPr="003D101B" w:rsidRDefault="003D101B" w:rsidP="003D101B">
      <w:pPr>
        <w:numPr>
          <w:ilvl w:val="0"/>
          <w:numId w:val="1"/>
        </w:numPr>
      </w:pPr>
      <w:r w:rsidRPr="003D101B">
        <w:rPr>
          <w:b/>
          <w:bCs/>
        </w:rPr>
        <w:t>Harm to Others:</w:t>
      </w:r>
      <w:r w:rsidRPr="003D101B">
        <w:t xml:space="preserve"> Harassing, threatening, or harming others.</w:t>
      </w:r>
    </w:p>
    <w:p w14:paraId="7AE1AA94" w14:textId="77777777" w:rsidR="003D101B" w:rsidRPr="003D101B" w:rsidRDefault="003D101B" w:rsidP="003D101B">
      <w:pPr>
        <w:numPr>
          <w:ilvl w:val="0"/>
          <w:numId w:val="1"/>
        </w:numPr>
      </w:pPr>
      <w:r w:rsidRPr="003D101B">
        <w:rPr>
          <w:b/>
          <w:bCs/>
        </w:rPr>
        <w:t>Security Breaches:</w:t>
      </w:r>
      <w:r w:rsidRPr="003D101B">
        <w:t xml:space="preserve"> Attempting to compromise the security of our systems or networks.</w:t>
      </w:r>
    </w:p>
    <w:p w14:paraId="3E59E3D4" w14:textId="77777777" w:rsidR="003D101B" w:rsidRPr="003D101B" w:rsidRDefault="003D101B" w:rsidP="003D101B">
      <w:pPr>
        <w:numPr>
          <w:ilvl w:val="0"/>
          <w:numId w:val="1"/>
        </w:numPr>
      </w:pPr>
      <w:r w:rsidRPr="003D101B">
        <w:rPr>
          <w:b/>
          <w:bCs/>
        </w:rPr>
        <w:t>Unauthorized Access:</w:t>
      </w:r>
      <w:r w:rsidRPr="003D101B">
        <w:t xml:space="preserve"> Accessing systems or data without authorization.</w:t>
      </w:r>
    </w:p>
    <w:p w14:paraId="198623CB" w14:textId="77777777" w:rsidR="003D101B" w:rsidRPr="003D101B" w:rsidRDefault="003D101B" w:rsidP="003D101B">
      <w:pPr>
        <w:numPr>
          <w:ilvl w:val="0"/>
          <w:numId w:val="1"/>
        </w:numPr>
      </w:pPr>
      <w:r w:rsidRPr="003D101B">
        <w:rPr>
          <w:b/>
          <w:bCs/>
        </w:rPr>
        <w:t>Malware Distribution:</w:t>
      </w:r>
      <w:r w:rsidRPr="003D101B">
        <w:t xml:space="preserve"> Distributing malware, viruses, or other harmful software.</w:t>
      </w:r>
    </w:p>
    <w:p w14:paraId="4A17EC2D" w14:textId="77777777" w:rsidR="003D101B" w:rsidRPr="003D101B" w:rsidRDefault="003D101B" w:rsidP="003D101B">
      <w:pPr>
        <w:numPr>
          <w:ilvl w:val="0"/>
          <w:numId w:val="1"/>
        </w:numPr>
      </w:pPr>
      <w:r w:rsidRPr="003D101B">
        <w:rPr>
          <w:b/>
          <w:bCs/>
        </w:rPr>
        <w:t>Spam:</w:t>
      </w:r>
      <w:r w:rsidRPr="003D101B">
        <w:t xml:space="preserve"> Sending unsolicited or bulk email.</w:t>
      </w:r>
    </w:p>
    <w:p w14:paraId="12CC547D" w14:textId="77777777" w:rsidR="003D101B" w:rsidRPr="003D101B" w:rsidRDefault="003D101B" w:rsidP="003D101B">
      <w:pPr>
        <w:numPr>
          <w:ilvl w:val="0"/>
          <w:numId w:val="1"/>
        </w:numPr>
      </w:pPr>
      <w:r w:rsidRPr="003D101B">
        <w:rPr>
          <w:b/>
          <w:bCs/>
        </w:rPr>
        <w:t>Excessive Resource Usage:</w:t>
      </w:r>
      <w:r w:rsidRPr="003D101B">
        <w:t xml:space="preserve"> Consuming excessive system resources.</w:t>
      </w:r>
    </w:p>
    <w:p w14:paraId="43D20698" w14:textId="77777777" w:rsidR="003D101B" w:rsidRPr="003D101B" w:rsidRDefault="003D101B" w:rsidP="003D101B">
      <w:pPr>
        <w:numPr>
          <w:ilvl w:val="0"/>
          <w:numId w:val="1"/>
        </w:numPr>
      </w:pPr>
      <w:r w:rsidRPr="003D101B">
        <w:rPr>
          <w:b/>
          <w:bCs/>
        </w:rPr>
        <w:t>Illegal Content:</w:t>
      </w:r>
      <w:r w:rsidRPr="003D101B">
        <w:t xml:space="preserve"> Storing, transmitting, or distributing illegal content.</w:t>
      </w:r>
    </w:p>
    <w:p w14:paraId="6B53BE1F" w14:textId="77777777" w:rsidR="003D101B" w:rsidRPr="003D101B" w:rsidRDefault="003D101B" w:rsidP="003D101B">
      <w:r w:rsidRPr="003D101B">
        <w:rPr>
          <w:b/>
          <w:bCs/>
        </w:rPr>
        <w:t>3. Service Abuse</w:t>
      </w:r>
    </w:p>
    <w:p w14:paraId="06B1A15A" w14:textId="77777777" w:rsidR="003D101B" w:rsidRPr="003D101B" w:rsidRDefault="003D101B" w:rsidP="003D101B">
      <w:r w:rsidRPr="003D101B">
        <w:t>You agree not to abuse our services, including but not limited to:</w:t>
      </w:r>
    </w:p>
    <w:p w14:paraId="6787B75C" w14:textId="147E731C" w:rsidR="003D101B" w:rsidRPr="003D101B" w:rsidRDefault="003D101B" w:rsidP="003D101B">
      <w:pPr>
        <w:numPr>
          <w:ilvl w:val="0"/>
          <w:numId w:val="2"/>
        </w:numPr>
      </w:pPr>
      <w:r w:rsidRPr="003D101B">
        <w:rPr>
          <w:b/>
          <w:bCs/>
        </w:rPr>
        <w:t>Excessive Resource Consumption:</w:t>
      </w:r>
      <w:r w:rsidRPr="003D101B">
        <w:t xml:space="preserve"> To ensure fair usage for all clients, our unlimited help desk support is subject to reasonable usage policies. Excessive usage, defined as more than 15 unsolicited points of contact per user in a 24-hour period, or harassment (as legally defined) will not be tolerated.</w:t>
      </w:r>
    </w:p>
    <w:p w14:paraId="5C923111" w14:textId="77777777" w:rsidR="003D101B" w:rsidRPr="003D101B" w:rsidRDefault="003D101B" w:rsidP="003D101B">
      <w:pPr>
        <w:numPr>
          <w:ilvl w:val="0"/>
          <w:numId w:val="2"/>
        </w:numPr>
      </w:pPr>
      <w:r w:rsidRPr="003D101B">
        <w:rPr>
          <w:b/>
          <w:bCs/>
        </w:rPr>
        <w:t>Malicious Activities:</w:t>
      </w:r>
      <w:r w:rsidRPr="003D101B">
        <w:t xml:space="preserve"> Engaging in activities that could harm our network or other users.</w:t>
      </w:r>
    </w:p>
    <w:p w14:paraId="6F71418C" w14:textId="77777777" w:rsidR="003D101B" w:rsidRPr="003D101B" w:rsidRDefault="003D101B" w:rsidP="003D101B">
      <w:pPr>
        <w:numPr>
          <w:ilvl w:val="0"/>
          <w:numId w:val="2"/>
        </w:numPr>
      </w:pPr>
      <w:r w:rsidRPr="003D101B">
        <w:rPr>
          <w:b/>
          <w:bCs/>
        </w:rPr>
        <w:t>Security Risks:</w:t>
      </w:r>
      <w:r w:rsidRPr="003D101B">
        <w:t xml:space="preserve"> Failing to follow recommended security practices.</w:t>
      </w:r>
    </w:p>
    <w:p w14:paraId="66EC9909" w14:textId="77777777" w:rsidR="003D101B" w:rsidRPr="003D101B" w:rsidRDefault="003D101B" w:rsidP="003D101B">
      <w:r w:rsidRPr="003D101B">
        <w:rPr>
          <w:b/>
          <w:bCs/>
        </w:rPr>
        <w:t>4. Intellectual Property</w:t>
      </w:r>
    </w:p>
    <w:p w14:paraId="1DB7CDCE" w14:textId="77777777" w:rsidR="003D101B" w:rsidRPr="003D101B" w:rsidRDefault="003D101B" w:rsidP="003D101B">
      <w:r w:rsidRPr="003D101B">
        <w:t>You agree to respect all intellectual property rights, including copyrights, trademarks, and patents. You may not use our services to infringe upon the intellectual property rights of others.</w:t>
      </w:r>
    </w:p>
    <w:p w14:paraId="2F5F2204" w14:textId="77777777" w:rsidR="003D101B" w:rsidRPr="003D101B" w:rsidRDefault="003D101B" w:rsidP="003D101B">
      <w:r w:rsidRPr="003D101B">
        <w:rPr>
          <w:b/>
          <w:bCs/>
        </w:rPr>
        <w:t>5. Monitoring and Enforcement</w:t>
      </w:r>
    </w:p>
    <w:p w14:paraId="6FA8C68C" w14:textId="77777777" w:rsidR="003D101B" w:rsidRPr="003D101B" w:rsidRDefault="003D101B" w:rsidP="003D101B">
      <w:r w:rsidRPr="003D101B">
        <w:t>We reserve the right to monitor network traffic and investigate any suspected violations of this AUP. We may take appropriate action, including suspension or termination of service, to address violations.</w:t>
      </w:r>
    </w:p>
    <w:p w14:paraId="38D5D38F" w14:textId="77777777" w:rsidR="003D101B" w:rsidRPr="003D101B" w:rsidRDefault="003D101B" w:rsidP="003D101B">
      <w:r w:rsidRPr="003D101B">
        <w:rPr>
          <w:b/>
          <w:bCs/>
        </w:rPr>
        <w:lastRenderedPageBreak/>
        <w:t>6. Changes to the AUP</w:t>
      </w:r>
    </w:p>
    <w:p w14:paraId="7E21E199" w14:textId="77777777" w:rsidR="003D101B" w:rsidRPr="003D101B" w:rsidRDefault="003D101B" w:rsidP="003D101B">
      <w:r w:rsidRPr="003D101B">
        <w:t>We may modify this AUP at any time. Any changes will be effective immediately upon posting on our website.</w:t>
      </w:r>
    </w:p>
    <w:p w14:paraId="74D8A3D0" w14:textId="77777777" w:rsidR="003D101B" w:rsidRPr="003D101B" w:rsidRDefault="003D101B" w:rsidP="003D101B">
      <w:r w:rsidRPr="003D101B">
        <w:rPr>
          <w:b/>
          <w:bCs/>
        </w:rPr>
        <w:t>7. Contact Information</w:t>
      </w:r>
    </w:p>
    <w:p w14:paraId="36115EDF" w14:textId="07905B4A" w:rsidR="003D101B" w:rsidRPr="003D101B" w:rsidRDefault="003D101B" w:rsidP="003D101B">
      <w:r w:rsidRPr="003D101B">
        <w:t xml:space="preserve">If you have any questions or concerns about this AUP, please contact us at </w:t>
      </w:r>
      <w:hyperlink r:id="rId8" w:history="1">
        <w:r w:rsidRPr="00D841BC">
          <w:rPr>
            <w:rStyle w:val="Hyperlink"/>
          </w:rPr>
          <w:t>Info@techtonicshift.co.uk</w:t>
        </w:r>
      </w:hyperlink>
      <w:r>
        <w:t xml:space="preserve"> </w:t>
      </w:r>
    </w:p>
    <w:p w14:paraId="537151AD" w14:textId="77777777" w:rsidR="003D101B" w:rsidRPr="003D101B" w:rsidRDefault="003D101B" w:rsidP="003D101B">
      <w:r w:rsidRPr="003D101B">
        <w:t xml:space="preserve">By using </w:t>
      </w:r>
      <w:proofErr w:type="spellStart"/>
      <w:r w:rsidRPr="003D101B">
        <w:t>TechTonic</w:t>
      </w:r>
      <w:proofErr w:type="spellEnd"/>
      <w:r w:rsidRPr="003D101B">
        <w:t xml:space="preserve"> Shift's managed services, you acknowledge that you have read, understood, and agree to abide by this AUP.</w:t>
      </w:r>
    </w:p>
    <w:p w14:paraId="3D572A52" w14:textId="77777777" w:rsidR="003D101B" w:rsidRDefault="003D101B" w:rsidP="003D101B">
      <w:r w:rsidRPr="003D101B">
        <w:t>Sources and related content</w:t>
      </w:r>
    </w:p>
    <w:p w14:paraId="63BB20F8" w14:textId="77777777" w:rsidR="003244B3" w:rsidRDefault="003244B3" w:rsidP="003D101B"/>
    <w:p w14:paraId="3D42DA88" w14:textId="77777777" w:rsidR="003244B3" w:rsidRDefault="003244B3" w:rsidP="003D101B"/>
    <w:p w14:paraId="7E79A5A4" w14:textId="77777777" w:rsidR="003244B3" w:rsidRDefault="003244B3" w:rsidP="003D101B"/>
    <w:p w14:paraId="45132617" w14:textId="77777777" w:rsidR="003244B3" w:rsidRDefault="003244B3" w:rsidP="003D101B"/>
    <w:p w14:paraId="14396385" w14:textId="77777777" w:rsidR="003244B3" w:rsidRDefault="003244B3" w:rsidP="003D101B"/>
    <w:p w14:paraId="6C47BBF0" w14:textId="77777777" w:rsidR="003244B3" w:rsidRDefault="003244B3" w:rsidP="003D101B"/>
    <w:p w14:paraId="3DF36775" w14:textId="77777777" w:rsidR="003244B3" w:rsidRDefault="003244B3" w:rsidP="003D101B"/>
    <w:p w14:paraId="25ABB39A" w14:textId="77777777" w:rsidR="003244B3" w:rsidRDefault="003244B3" w:rsidP="003D101B"/>
    <w:p w14:paraId="2EC18730" w14:textId="77777777" w:rsidR="003244B3" w:rsidRDefault="003244B3" w:rsidP="003D101B"/>
    <w:p w14:paraId="36E23E88" w14:textId="77777777" w:rsidR="003244B3" w:rsidRDefault="003244B3" w:rsidP="003D101B"/>
    <w:p w14:paraId="44F1CF77" w14:textId="77777777" w:rsidR="003244B3" w:rsidRDefault="003244B3" w:rsidP="003D101B"/>
    <w:p w14:paraId="1D05B0E5" w14:textId="77777777" w:rsidR="003244B3" w:rsidRDefault="003244B3" w:rsidP="003D101B"/>
    <w:p w14:paraId="41C9FAD6" w14:textId="77777777" w:rsidR="003244B3" w:rsidRPr="003D101B" w:rsidRDefault="003244B3" w:rsidP="003D101B"/>
    <w:p w14:paraId="53FF68C6" w14:textId="77777777" w:rsidR="003D101B" w:rsidRPr="003D101B" w:rsidRDefault="003D101B" w:rsidP="003D101B">
      <w:pPr>
        <w:rPr>
          <w:rStyle w:val="Hyperlink"/>
        </w:rPr>
      </w:pPr>
      <w:r w:rsidRPr="003D101B">
        <w:fldChar w:fldCharType="begin"/>
      </w:r>
      <w:r w:rsidRPr="003D101B">
        <w:instrText>HYPERLINK "https://www.shipfinex.com/termsofusemrn" \t "_blank"</w:instrText>
      </w:r>
      <w:r w:rsidRPr="003D101B">
        <w:fldChar w:fldCharType="separate"/>
      </w:r>
    </w:p>
    <w:p w14:paraId="08635DBB" w14:textId="77777777" w:rsidR="003D101B" w:rsidRPr="003D101B" w:rsidRDefault="003D101B" w:rsidP="003D101B">
      <w:r w:rsidRPr="003D101B">
        <w:fldChar w:fldCharType="end"/>
      </w:r>
    </w:p>
    <w:p w14:paraId="4C9137E0" w14:textId="77777777" w:rsidR="007B508F" w:rsidRDefault="007B508F"/>
    <w:sectPr w:rsidR="007B508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B6444" w14:textId="77777777" w:rsidR="003C79B7" w:rsidRDefault="003C79B7" w:rsidP="005323A1">
      <w:pPr>
        <w:spacing w:after="0" w:line="240" w:lineRule="auto"/>
      </w:pPr>
      <w:r>
        <w:separator/>
      </w:r>
    </w:p>
  </w:endnote>
  <w:endnote w:type="continuationSeparator" w:id="0">
    <w:p w14:paraId="5FFEE417" w14:textId="77777777" w:rsidR="003C79B7" w:rsidRDefault="003C79B7" w:rsidP="005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789B" w14:textId="5FC4FBFD" w:rsidR="00EC1354" w:rsidRDefault="008834C2" w:rsidP="0025578D">
    <w:pPr>
      <w:pStyle w:val="Footer"/>
    </w:pPr>
    <w:r>
      <w:fldChar w:fldCharType="begin"/>
    </w:r>
    <w:r>
      <w:instrText xml:space="preserve"> CREATEDATE  \@ "dd/MM/yyyy HH:mm:ss"  \* MERGEFORMAT </w:instrText>
    </w:r>
    <w:r>
      <w:fldChar w:fldCharType="separate"/>
    </w:r>
    <w:r>
      <w:rPr>
        <w:noProof/>
      </w:rPr>
      <w:t>04/11/2024 14:25:00</w:t>
    </w:r>
    <w:r>
      <w:fldChar w:fldCharType="end"/>
    </w:r>
  </w:p>
  <w:p w14:paraId="58FEC375" w14:textId="025BF579" w:rsidR="008834C2" w:rsidRPr="0025578D" w:rsidRDefault="00083FAF" w:rsidP="00390D7A">
    <w:pPr>
      <w:pStyle w:val="Footer"/>
    </w:pPr>
    <w:r>
      <w:t xml:space="preserve">Version: </w:t>
    </w:r>
    <w:r>
      <w:fldChar w:fldCharType="begin"/>
    </w:r>
    <w:r>
      <w:instrText xml:space="preserve"> =MAX(DocVersionTable A:A) \#"#.0#" </w:instrText>
    </w:r>
    <w:r>
      <w:fldChar w:fldCharType="separate"/>
    </w:r>
    <w:r w:rsidR="00D50A7B">
      <w:rPr>
        <w:noProof/>
      </w:rPr>
      <w:t xml:space="preserve">1.0 </w:t>
    </w:r>
    <w:r>
      <w:fldChar w:fldCharType="end"/>
    </w:r>
    <w:r w:rsidR="00C44C4B">
      <w:t>.</w:t>
    </w:r>
    <w:fldSimple w:instr=" INFO  RevNum  \* MERGEFORMAT ">
      <w:r w:rsidR="002427F3">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73FC" w14:textId="77777777" w:rsidR="003C79B7" w:rsidRDefault="003C79B7" w:rsidP="005323A1">
      <w:pPr>
        <w:spacing w:after="0" w:line="240" w:lineRule="auto"/>
      </w:pPr>
      <w:r>
        <w:separator/>
      </w:r>
    </w:p>
  </w:footnote>
  <w:footnote w:type="continuationSeparator" w:id="0">
    <w:p w14:paraId="43933F00" w14:textId="77777777" w:rsidR="003C79B7" w:rsidRDefault="003C79B7" w:rsidP="00532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9572B"/>
    <w:multiLevelType w:val="multilevel"/>
    <w:tmpl w:val="935C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14B0"/>
    <w:multiLevelType w:val="multilevel"/>
    <w:tmpl w:val="CFC8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36790">
    <w:abstractNumId w:val="1"/>
  </w:num>
  <w:num w:numId="2" w16cid:durableId="209466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1B"/>
    <w:rsid w:val="000442D4"/>
    <w:rsid w:val="00045843"/>
    <w:rsid w:val="00083FAF"/>
    <w:rsid w:val="000A7904"/>
    <w:rsid w:val="000C22D7"/>
    <w:rsid w:val="0012085E"/>
    <w:rsid w:val="00140749"/>
    <w:rsid w:val="001531E6"/>
    <w:rsid w:val="00194B85"/>
    <w:rsid w:val="001C518B"/>
    <w:rsid w:val="002427F3"/>
    <w:rsid w:val="0025578D"/>
    <w:rsid w:val="002711A0"/>
    <w:rsid w:val="002B6483"/>
    <w:rsid w:val="003244B3"/>
    <w:rsid w:val="00390D7A"/>
    <w:rsid w:val="003C79B7"/>
    <w:rsid w:val="003D0918"/>
    <w:rsid w:val="003D101B"/>
    <w:rsid w:val="00424295"/>
    <w:rsid w:val="004711E5"/>
    <w:rsid w:val="005323A1"/>
    <w:rsid w:val="005877C6"/>
    <w:rsid w:val="005D7833"/>
    <w:rsid w:val="00731185"/>
    <w:rsid w:val="007B508F"/>
    <w:rsid w:val="008834C2"/>
    <w:rsid w:val="00991791"/>
    <w:rsid w:val="009B3494"/>
    <w:rsid w:val="00B52469"/>
    <w:rsid w:val="00C44C4B"/>
    <w:rsid w:val="00D50A7B"/>
    <w:rsid w:val="00DA1625"/>
    <w:rsid w:val="00EA1B81"/>
    <w:rsid w:val="00EC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3AB6E"/>
  <w15:chartTrackingRefBased/>
  <w15:docId w15:val="{C302921B-6150-4702-8102-FA7B819D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01B"/>
    <w:rPr>
      <w:rFonts w:eastAsiaTheme="majorEastAsia" w:cstheme="majorBidi"/>
      <w:color w:val="272727" w:themeColor="text1" w:themeTint="D8"/>
    </w:rPr>
  </w:style>
  <w:style w:type="paragraph" w:styleId="Title">
    <w:name w:val="Title"/>
    <w:basedOn w:val="Normal"/>
    <w:next w:val="Normal"/>
    <w:link w:val="TitleChar"/>
    <w:uiPriority w:val="10"/>
    <w:qFormat/>
    <w:rsid w:val="003D1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01B"/>
    <w:pPr>
      <w:spacing w:before="160"/>
      <w:jc w:val="center"/>
    </w:pPr>
    <w:rPr>
      <w:i/>
      <w:iCs/>
      <w:color w:val="404040" w:themeColor="text1" w:themeTint="BF"/>
    </w:rPr>
  </w:style>
  <w:style w:type="character" w:customStyle="1" w:styleId="QuoteChar">
    <w:name w:val="Quote Char"/>
    <w:basedOn w:val="DefaultParagraphFont"/>
    <w:link w:val="Quote"/>
    <w:uiPriority w:val="29"/>
    <w:rsid w:val="003D101B"/>
    <w:rPr>
      <w:i/>
      <w:iCs/>
      <w:color w:val="404040" w:themeColor="text1" w:themeTint="BF"/>
    </w:rPr>
  </w:style>
  <w:style w:type="paragraph" w:styleId="ListParagraph">
    <w:name w:val="List Paragraph"/>
    <w:basedOn w:val="Normal"/>
    <w:uiPriority w:val="34"/>
    <w:qFormat/>
    <w:rsid w:val="003D101B"/>
    <w:pPr>
      <w:ind w:left="720"/>
      <w:contextualSpacing/>
    </w:pPr>
  </w:style>
  <w:style w:type="character" w:styleId="IntenseEmphasis">
    <w:name w:val="Intense Emphasis"/>
    <w:basedOn w:val="DefaultParagraphFont"/>
    <w:uiPriority w:val="21"/>
    <w:qFormat/>
    <w:rsid w:val="003D101B"/>
    <w:rPr>
      <w:i/>
      <w:iCs/>
      <w:color w:val="0F4761" w:themeColor="accent1" w:themeShade="BF"/>
    </w:rPr>
  </w:style>
  <w:style w:type="paragraph" w:styleId="IntenseQuote">
    <w:name w:val="Intense Quote"/>
    <w:basedOn w:val="Normal"/>
    <w:next w:val="Normal"/>
    <w:link w:val="IntenseQuoteChar"/>
    <w:uiPriority w:val="30"/>
    <w:qFormat/>
    <w:rsid w:val="003D1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01B"/>
    <w:rPr>
      <w:i/>
      <w:iCs/>
      <w:color w:val="0F4761" w:themeColor="accent1" w:themeShade="BF"/>
    </w:rPr>
  </w:style>
  <w:style w:type="character" w:styleId="IntenseReference">
    <w:name w:val="Intense Reference"/>
    <w:basedOn w:val="DefaultParagraphFont"/>
    <w:uiPriority w:val="32"/>
    <w:qFormat/>
    <w:rsid w:val="003D101B"/>
    <w:rPr>
      <w:b/>
      <w:bCs/>
      <w:smallCaps/>
      <w:color w:val="0F4761" w:themeColor="accent1" w:themeShade="BF"/>
      <w:spacing w:val="5"/>
    </w:rPr>
  </w:style>
  <w:style w:type="character" w:styleId="Hyperlink">
    <w:name w:val="Hyperlink"/>
    <w:basedOn w:val="DefaultParagraphFont"/>
    <w:uiPriority w:val="99"/>
    <w:unhideWhenUsed/>
    <w:rsid w:val="003D101B"/>
    <w:rPr>
      <w:color w:val="467886" w:themeColor="hyperlink"/>
      <w:u w:val="single"/>
    </w:rPr>
  </w:style>
  <w:style w:type="character" w:styleId="UnresolvedMention">
    <w:name w:val="Unresolved Mention"/>
    <w:basedOn w:val="DefaultParagraphFont"/>
    <w:uiPriority w:val="99"/>
    <w:semiHidden/>
    <w:unhideWhenUsed/>
    <w:rsid w:val="003D101B"/>
    <w:rPr>
      <w:color w:val="605E5C"/>
      <w:shd w:val="clear" w:color="auto" w:fill="E1DFDD"/>
    </w:rPr>
  </w:style>
  <w:style w:type="table" w:styleId="TableGrid">
    <w:name w:val="Table Grid"/>
    <w:basedOn w:val="TableNormal"/>
    <w:uiPriority w:val="39"/>
    <w:rsid w:val="00DA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A16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3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3A1"/>
  </w:style>
  <w:style w:type="paragraph" w:styleId="Footer">
    <w:name w:val="footer"/>
    <w:basedOn w:val="Normal"/>
    <w:link w:val="FooterChar"/>
    <w:uiPriority w:val="99"/>
    <w:unhideWhenUsed/>
    <w:rsid w:val="0053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3A1"/>
  </w:style>
  <w:style w:type="paragraph" w:styleId="NoSpacing">
    <w:name w:val="No Spacing"/>
    <w:link w:val="NoSpacingChar"/>
    <w:uiPriority w:val="1"/>
    <w:qFormat/>
    <w:rsid w:val="00C44C4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44C4B"/>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555">
      <w:bodyDiv w:val="1"/>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 w:id="1437405552">
          <w:marLeft w:val="0"/>
          <w:marRight w:val="0"/>
          <w:marTop w:val="0"/>
          <w:marBottom w:val="0"/>
          <w:divBdr>
            <w:top w:val="none" w:sz="0" w:space="0" w:color="auto"/>
            <w:left w:val="none" w:sz="0" w:space="0" w:color="auto"/>
            <w:bottom w:val="none" w:sz="0" w:space="0" w:color="auto"/>
            <w:right w:val="none" w:sz="0" w:space="0" w:color="auto"/>
          </w:divBdr>
          <w:divsChild>
            <w:div w:id="1888834373">
              <w:marLeft w:val="0"/>
              <w:marRight w:val="0"/>
              <w:marTop w:val="0"/>
              <w:marBottom w:val="0"/>
              <w:divBdr>
                <w:top w:val="none" w:sz="0" w:space="0" w:color="auto"/>
                <w:left w:val="none" w:sz="0" w:space="0" w:color="auto"/>
                <w:bottom w:val="none" w:sz="0" w:space="0" w:color="auto"/>
                <w:right w:val="none" w:sz="0" w:space="0" w:color="auto"/>
              </w:divBdr>
            </w:div>
            <w:div w:id="377053773">
              <w:marLeft w:val="0"/>
              <w:marRight w:val="0"/>
              <w:marTop w:val="0"/>
              <w:marBottom w:val="0"/>
              <w:divBdr>
                <w:top w:val="none" w:sz="0" w:space="0" w:color="auto"/>
                <w:left w:val="none" w:sz="0" w:space="0" w:color="auto"/>
                <w:bottom w:val="none" w:sz="0" w:space="0" w:color="auto"/>
                <w:right w:val="none" w:sz="0" w:space="0" w:color="auto"/>
              </w:divBdr>
              <w:divsChild>
                <w:div w:id="1216357362">
                  <w:marLeft w:val="0"/>
                  <w:marRight w:val="0"/>
                  <w:marTop w:val="0"/>
                  <w:marBottom w:val="0"/>
                  <w:divBdr>
                    <w:top w:val="none" w:sz="0" w:space="0" w:color="auto"/>
                    <w:left w:val="none" w:sz="0" w:space="0" w:color="auto"/>
                    <w:bottom w:val="none" w:sz="0" w:space="0" w:color="auto"/>
                    <w:right w:val="none" w:sz="0" w:space="0" w:color="auto"/>
                  </w:divBdr>
                  <w:divsChild>
                    <w:div w:id="1758943627">
                      <w:marLeft w:val="0"/>
                      <w:marRight w:val="0"/>
                      <w:marTop w:val="0"/>
                      <w:marBottom w:val="0"/>
                      <w:divBdr>
                        <w:top w:val="none" w:sz="0" w:space="0" w:color="auto"/>
                        <w:left w:val="none" w:sz="0" w:space="0" w:color="auto"/>
                        <w:bottom w:val="none" w:sz="0" w:space="0" w:color="auto"/>
                        <w:right w:val="none" w:sz="0" w:space="0" w:color="auto"/>
                      </w:divBdr>
                      <w:divsChild>
                        <w:div w:id="2034531086">
                          <w:marLeft w:val="0"/>
                          <w:marRight w:val="0"/>
                          <w:marTop w:val="0"/>
                          <w:marBottom w:val="0"/>
                          <w:divBdr>
                            <w:top w:val="none" w:sz="0" w:space="0" w:color="auto"/>
                            <w:left w:val="none" w:sz="0" w:space="0" w:color="auto"/>
                            <w:bottom w:val="none" w:sz="0" w:space="0" w:color="auto"/>
                            <w:right w:val="none" w:sz="0" w:space="0" w:color="auto"/>
                          </w:divBdr>
                          <w:divsChild>
                            <w:div w:id="895235592">
                              <w:marLeft w:val="0"/>
                              <w:marRight w:val="0"/>
                              <w:marTop w:val="0"/>
                              <w:marBottom w:val="0"/>
                              <w:divBdr>
                                <w:top w:val="none" w:sz="0" w:space="0" w:color="auto"/>
                                <w:left w:val="none" w:sz="0" w:space="0" w:color="auto"/>
                                <w:bottom w:val="none" w:sz="0" w:space="0" w:color="auto"/>
                                <w:right w:val="none" w:sz="0" w:space="0" w:color="auto"/>
                              </w:divBdr>
                              <w:divsChild>
                                <w:div w:id="15893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91792">
      <w:bodyDiv w:val="1"/>
      <w:marLeft w:val="0"/>
      <w:marRight w:val="0"/>
      <w:marTop w:val="0"/>
      <w:marBottom w:val="0"/>
      <w:divBdr>
        <w:top w:val="none" w:sz="0" w:space="0" w:color="auto"/>
        <w:left w:val="none" w:sz="0" w:space="0" w:color="auto"/>
        <w:bottom w:val="none" w:sz="0" w:space="0" w:color="auto"/>
        <w:right w:val="none" w:sz="0" w:space="0" w:color="auto"/>
      </w:divBdr>
      <w:divsChild>
        <w:div w:id="1961955498">
          <w:marLeft w:val="0"/>
          <w:marRight w:val="0"/>
          <w:marTop w:val="0"/>
          <w:marBottom w:val="0"/>
          <w:divBdr>
            <w:top w:val="none" w:sz="0" w:space="0" w:color="auto"/>
            <w:left w:val="none" w:sz="0" w:space="0" w:color="auto"/>
            <w:bottom w:val="none" w:sz="0" w:space="0" w:color="auto"/>
            <w:right w:val="none" w:sz="0" w:space="0" w:color="auto"/>
          </w:divBdr>
        </w:div>
        <w:div w:id="40399078">
          <w:marLeft w:val="0"/>
          <w:marRight w:val="0"/>
          <w:marTop w:val="0"/>
          <w:marBottom w:val="0"/>
          <w:divBdr>
            <w:top w:val="none" w:sz="0" w:space="0" w:color="auto"/>
            <w:left w:val="none" w:sz="0" w:space="0" w:color="auto"/>
            <w:bottom w:val="none" w:sz="0" w:space="0" w:color="auto"/>
            <w:right w:val="none" w:sz="0" w:space="0" w:color="auto"/>
          </w:divBdr>
          <w:divsChild>
            <w:div w:id="1345400080">
              <w:marLeft w:val="0"/>
              <w:marRight w:val="0"/>
              <w:marTop w:val="0"/>
              <w:marBottom w:val="0"/>
              <w:divBdr>
                <w:top w:val="none" w:sz="0" w:space="0" w:color="auto"/>
                <w:left w:val="none" w:sz="0" w:space="0" w:color="auto"/>
                <w:bottom w:val="none" w:sz="0" w:space="0" w:color="auto"/>
                <w:right w:val="none" w:sz="0" w:space="0" w:color="auto"/>
              </w:divBdr>
            </w:div>
            <w:div w:id="1747654150">
              <w:marLeft w:val="0"/>
              <w:marRight w:val="0"/>
              <w:marTop w:val="0"/>
              <w:marBottom w:val="0"/>
              <w:divBdr>
                <w:top w:val="none" w:sz="0" w:space="0" w:color="auto"/>
                <w:left w:val="none" w:sz="0" w:space="0" w:color="auto"/>
                <w:bottom w:val="none" w:sz="0" w:space="0" w:color="auto"/>
                <w:right w:val="none" w:sz="0" w:space="0" w:color="auto"/>
              </w:divBdr>
              <w:divsChild>
                <w:div w:id="1558315738">
                  <w:marLeft w:val="0"/>
                  <w:marRight w:val="0"/>
                  <w:marTop w:val="0"/>
                  <w:marBottom w:val="0"/>
                  <w:divBdr>
                    <w:top w:val="none" w:sz="0" w:space="0" w:color="auto"/>
                    <w:left w:val="none" w:sz="0" w:space="0" w:color="auto"/>
                    <w:bottom w:val="none" w:sz="0" w:space="0" w:color="auto"/>
                    <w:right w:val="none" w:sz="0" w:space="0" w:color="auto"/>
                  </w:divBdr>
                  <w:divsChild>
                    <w:div w:id="171186774">
                      <w:marLeft w:val="0"/>
                      <w:marRight w:val="0"/>
                      <w:marTop w:val="0"/>
                      <w:marBottom w:val="0"/>
                      <w:divBdr>
                        <w:top w:val="none" w:sz="0" w:space="0" w:color="auto"/>
                        <w:left w:val="none" w:sz="0" w:space="0" w:color="auto"/>
                        <w:bottom w:val="none" w:sz="0" w:space="0" w:color="auto"/>
                        <w:right w:val="none" w:sz="0" w:space="0" w:color="auto"/>
                      </w:divBdr>
                      <w:divsChild>
                        <w:div w:id="1750469590">
                          <w:marLeft w:val="0"/>
                          <w:marRight w:val="0"/>
                          <w:marTop w:val="0"/>
                          <w:marBottom w:val="0"/>
                          <w:divBdr>
                            <w:top w:val="none" w:sz="0" w:space="0" w:color="auto"/>
                            <w:left w:val="none" w:sz="0" w:space="0" w:color="auto"/>
                            <w:bottom w:val="none" w:sz="0" w:space="0" w:color="auto"/>
                            <w:right w:val="none" w:sz="0" w:space="0" w:color="auto"/>
                          </w:divBdr>
                          <w:divsChild>
                            <w:div w:id="684870887">
                              <w:marLeft w:val="0"/>
                              <w:marRight w:val="0"/>
                              <w:marTop w:val="0"/>
                              <w:marBottom w:val="0"/>
                              <w:divBdr>
                                <w:top w:val="none" w:sz="0" w:space="0" w:color="auto"/>
                                <w:left w:val="none" w:sz="0" w:space="0" w:color="auto"/>
                                <w:bottom w:val="none" w:sz="0" w:space="0" w:color="auto"/>
                                <w:right w:val="none" w:sz="0" w:space="0" w:color="auto"/>
                              </w:divBdr>
                              <w:divsChild>
                                <w:div w:id="740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chtonicshif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EB3F-0EF1-49A6-B4BA-41C44B0B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Walkley</dc:creator>
  <cp:keywords/>
  <dc:description/>
  <cp:lastModifiedBy>Simon Walkley</cp:lastModifiedBy>
  <cp:revision>27</cp:revision>
  <dcterms:created xsi:type="dcterms:W3CDTF">2024-11-04T14:25:00Z</dcterms:created>
  <dcterms:modified xsi:type="dcterms:W3CDTF">2024-11-04T15:41:00Z</dcterms:modified>
</cp:coreProperties>
</file>